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740" w:rsidRPr="00782804" w:rsidRDefault="00D17740" w:rsidP="00D17740">
      <w:pPr>
        <w:pStyle w:val="berschrift1"/>
        <w:rPr>
          <w:lang w:val="de-CH"/>
        </w:rPr>
      </w:pPr>
      <w:bookmarkStart w:id="0" w:name="_GoBack"/>
      <w:bookmarkEnd w:id="0"/>
      <w:r w:rsidRPr="00782804">
        <w:rPr>
          <w:lang w:val="de-CH"/>
        </w:rPr>
        <w:t>Arbeitsvertrag</w:t>
      </w:r>
    </w:p>
    <w:p w:rsidR="00D17740" w:rsidRPr="00782804" w:rsidRDefault="00D17740">
      <w:pPr>
        <w:rPr>
          <w:rFonts w:ascii="Arial" w:hAnsi="Arial"/>
          <w:sz w:val="24"/>
          <w:lang w:val="de-CH"/>
        </w:rPr>
      </w:pPr>
    </w:p>
    <w:p w:rsidR="00D17740" w:rsidRPr="00782804" w:rsidRDefault="00D17740">
      <w:pPr>
        <w:rPr>
          <w:rFonts w:ascii="Arial" w:hAnsi="Arial"/>
          <w:sz w:val="24"/>
          <w:lang w:val="de-CH"/>
        </w:rPr>
      </w:pPr>
    </w:p>
    <w:p w:rsidR="00D17740" w:rsidRPr="00782804" w:rsidRDefault="00D17740" w:rsidP="00D17740">
      <w:pPr>
        <w:pStyle w:val="berschrift2"/>
        <w:rPr>
          <w:lang w:val="de-CH"/>
        </w:rPr>
      </w:pPr>
      <w:r w:rsidRPr="00782804">
        <w:rPr>
          <w:lang w:val="de-CH"/>
        </w:rPr>
        <w:t>Abschluss des Anstellungsvertrages</w:t>
      </w:r>
    </w:p>
    <w:p w:rsidR="00D17740" w:rsidRPr="00782804" w:rsidRDefault="00D17740">
      <w:pPr>
        <w:rPr>
          <w:rFonts w:ascii="Arial" w:hAnsi="Arial"/>
          <w:sz w:val="24"/>
          <w:lang w:val="de-CH"/>
        </w:rPr>
      </w:pPr>
    </w:p>
    <w:p w:rsidR="00D17740" w:rsidRPr="00782804" w:rsidRDefault="00D17740">
      <w:pPr>
        <w:rPr>
          <w:rFonts w:ascii="Arial" w:hAnsi="Arial"/>
          <w:sz w:val="24"/>
          <w:lang w:val="de-CH"/>
        </w:rPr>
      </w:pPr>
      <w:r w:rsidRPr="00782804">
        <w:rPr>
          <w:rFonts w:ascii="Arial" w:hAnsi="Arial"/>
          <w:sz w:val="24"/>
          <w:lang w:val="de-CH"/>
        </w:rPr>
        <w:t>Handlungsfähige Personen können einen Arbeitsvertrag mündlich, schriftlich oder gar stillschweigend (durch konkludentes Verhalten) abschliessen. Der SKV empfiehlt, in jedem Fall die schriftliche Form zu wählen, wozu der von ihm ausgearbeitete Anstellungsvertrag verwendet werden kann.</w:t>
      </w:r>
    </w:p>
    <w:p w:rsidR="00D17740" w:rsidRPr="00782804" w:rsidRDefault="00D17740">
      <w:pPr>
        <w:rPr>
          <w:rFonts w:ascii="Arial" w:hAnsi="Arial"/>
          <w:sz w:val="24"/>
          <w:lang w:val="de-CH"/>
        </w:rPr>
      </w:pPr>
    </w:p>
    <w:p w:rsidR="00D17740" w:rsidRPr="00782804" w:rsidRDefault="00D17740">
      <w:pPr>
        <w:rPr>
          <w:rFonts w:ascii="Arial" w:hAnsi="Arial"/>
          <w:sz w:val="24"/>
          <w:lang w:val="de-CH"/>
        </w:rPr>
      </w:pPr>
    </w:p>
    <w:p w:rsidR="00D17740" w:rsidRPr="00782804" w:rsidRDefault="00D17740" w:rsidP="00D17740">
      <w:pPr>
        <w:pStyle w:val="berschrift1"/>
        <w:rPr>
          <w:lang w:val="de-CH"/>
        </w:rPr>
      </w:pPr>
      <w:r w:rsidRPr="00782804">
        <w:rPr>
          <w:lang w:val="de-CH"/>
        </w:rPr>
        <w:t>Probezeit</w:t>
      </w:r>
    </w:p>
    <w:p w:rsidR="00D17740" w:rsidRPr="00782804" w:rsidRDefault="00D17740">
      <w:pPr>
        <w:rPr>
          <w:rFonts w:ascii="Arial" w:hAnsi="Arial"/>
          <w:sz w:val="24"/>
          <w:lang w:val="de-CH"/>
        </w:rPr>
      </w:pPr>
    </w:p>
    <w:p w:rsidR="00D17740" w:rsidRPr="00782804" w:rsidRDefault="00D17740">
      <w:pPr>
        <w:rPr>
          <w:rFonts w:ascii="Arial" w:hAnsi="Arial"/>
          <w:sz w:val="24"/>
          <w:lang w:val="de-CH"/>
        </w:rPr>
      </w:pPr>
      <w:r w:rsidRPr="00782804">
        <w:rPr>
          <w:rFonts w:ascii="Arial" w:hAnsi="Arial"/>
          <w:sz w:val="24"/>
          <w:lang w:val="de-CH"/>
        </w:rPr>
        <w:t>Wird das Arbeitsverhältnis nicht für eine bestimmte Zeit eingegangen, so gilt nach Art. 334 OR der erste Monat als Probezeit. Die Frage der Probezeit dürfte bei der Anstellung von leitenden Angestellten zweitrangig sein, trotzdem sollte sie nicht übergangen werden.</w:t>
      </w:r>
    </w:p>
    <w:p w:rsidR="00D17740" w:rsidRPr="00782804" w:rsidRDefault="00D17740">
      <w:pPr>
        <w:rPr>
          <w:rFonts w:ascii="Arial" w:hAnsi="Arial"/>
          <w:sz w:val="24"/>
          <w:lang w:val="de-CH"/>
        </w:rPr>
      </w:pPr>
    </w:p>
    <w:p w:rsidR="00424AF7" w:rsidRPr="00782804" w:rsidRDefault="00424AF7">
      <w:pPr>
        <w:rPr>
          <w:rFonts w:ascii="Arial" w:hAnsi="Arial"/>
          <w:sz w:val="24"/>
          <w:lang w:val="de-CH"/>
        </w:rPr>
      </w:pPr>
    </w:p>
    <w:p w:rsidR="00D17740" w:rsidRPr="00782804" w:rsidRDefault="00D17740" w:rsidP="00D17740">
      <w:pPr>
        <w:pStyle w:val="berschrift1"/>
        <w:rPr>
          <w:lang w:val="de-CH"/>
        </w:rPr>
      </w:pPr>
      <w:r w:rsidRPr="00782804">
        <w:rPr>
          <w:lang w:val="de-CH"/>
        </w:rPr>
        <w:t>Kündigung</w:t>
      </w:r>
    </w:p>
    <w:p w:rsidR="00D17740" w:rsidRPr="00782804" w:rsidRDefault="00D17740">
      <w:pPr>
        <w:rPr>
          <w:rFonts w:ascii="Arial" w:hAnsi="Arial"/>
          <w:sz w:val="24"/>
          <w:lang w:val="de-CH"/>
        </w:rPr>
      </w:pPr>
    </w:p>
    <w:p w:rsidR="00D17740" w:rsidRPr="00782804" w:rsidRDefault="00D17740">
      <w:pPr>
        <w:rPr>
          <w:rFonts w:ascii="Arial" w:hAnsi="Arial"/>
          <w:sz w:val="24"/>
          <w:lang w:val="de-CH"/>
        </w:rPr>
      </w:pPr>
      <w:r w:rsidRPr="00782804">
        <w:rPr>
          <w:rFonts w:ascii="Arial" w:hAnsi="Arial"/>
          <w:sz w:val="24"/>
          <w:lang w:val="de-CH"/>
        </w:rPr>
        <w:t>Für die Kündigung des Anstellungsverhältnisses gelten nach Art. 336a und b OR gegenseitig folgende Fristen:</w:t>
      </w:r>
    </w:p>
    <w:p w:rsidR="00D17740" w:rsidRPr="00782804" w:rsidRDefault="00D17740">
      <w:pPr>
        <w:rPr>
          <w:rFonts w:ascii="Arial" w:hAnsi="Arial"/>
          <w:sz w:val="24"/>
          <w:lang w:val="de-CH"/>
        </w:rPr>
      </w:pPr>
    </w:p>
    <w:p w:rsidR="00D17740" w:rsidRPr="00782804" w:rsidRDefault="00D17740">
      <w:pPr>
        <w:ind w:left="360" w:hanging="360"/>
        <w:rPr>
          <w:rFonts w:ascii="Arial" w:hAnsi="Arial"/>
          <w:sz w:val="24"/>
          <w:lang w:val="de-CH"/>
        </w:rPr>
      </w:pPr>
      <w:r w:rsidRPr="00782804">
        <w:rPr>
          <w:rFonts w:ascii="Arial" w:hAnsi="Arial"/>
          <w:sz w:val="24"/>
          <w:lang w:val="de-CH"/>
        </w:rPr>
        <w:fldChar w:fldCharType="begin"/>
      </w:r>
      <w:r w:rsidRPr="00782804">
        <w:rPr>
          <w:rFonts w:ascii="Arial" w:hAnsi="Arial"/>
          <w:sz w:val="24"/>
          <w:lang w:val="de-CH"/>
        </w:rPr>
        <w:instrText>SYMBOL 183 \f "Symbol" \s 8 \h</w:instrText>
      </w:r>
      <w:r w:rsidRPr="00782804">
        <w:rPr>
          <w:rFonts w:ascii="Arial" w:hAnsi="Arial"/>
          <w:sz w:val="24"/>
          <w:lang w:val="de-CH"/>
        </w:rPr>
        <w:fldChar w:fldCharType="end"/>
      </w:r>
      <w:r w:rsidRPr="00782804">
        <w:rPr>
          <w:rFonts w:ascii="Arial" w:hAnsi="Arial"/>
          <w:sz w:val="24"/>
          <w:lang w:val="de-CH"/>
        </w:rPr>
        <w:tab/>
        <w:t>während der Probezeit sieben Tage auf das Ende einer Arbeitswoche</w:t>
      </w:r>
    </w:p>
    <w:p w:rsidR="00D17740" w:rsidRPr="00782804" w:rsidRDefault="00D17740">
      <w:pPr>
        <w:ind w:left="360" w:hanging="360"/>
        <w:rPr>
          <w:rFonts w:ascii="Arial" w:hAnsi="Arial"/>
          <w:sz w:val="24"/>
          <w:lang w:val="de-CH"/>
        </w:rPr>
      </w:pPr>
      <w:r w:rsidRPr="00782804">
        <w:rPr>
          <w:rFonts w:ascii="Arial" w:hAnsi="Arial"/>
          <w:sz w:val="24"/>
          <w:lang w:val="de-CH"/>
        </w:rPr>
        <w:fldChar w:fldCharType="begin"/>
      </w:r>
      <w:r w:rsidRPr="00782804">
        <w:rPr>
          <w:rFonts w:ascii="Arial" w:hAnsi="Arial"/>
          <w:sz w:val="24"/>
          <w:lang w:val="de-CH"/>
        </w:rPr>
        <w:instrText>SYMBOL 183 \f "Symbol" \s 8 \h</w:instrText>
      </w:r>
      <w:r w:rsidRPr="00782804">
        <w:rPr>
          <w:rFonts w:ascii="Arial" w:hAnsi="Arial"/>
          <w:sz w:val="24"/>
          <w:lang w:val="de-CH"/>
        </w:rPr>
        <w:fldChar w:fldCharType="end"/>
      </w:r>
      <w:r w:rsidRPr="00782804">
        <w:rPr>
          <w:rFonts w:ascii="Arial" w:hAnsi="Arial"/>
          <w:sz w:val="24"/>
          <w:lang w:val="de-CH"/>
        </w:rPr>
        <w:tab/>
        <w:t>nach der Probezeit jeweils auf das Ende eines Kalendermonats</w:t>
      </w:r>
    </w:p>
    <w:p w:rsidR="00D17740" w:rsidRPr="00782804" w:rsidRDefault="00D17740">
      <w:pPr>
        <w:tabs>
          <w:tab w:val="left" w:pos="6237"/>
        </w:tabs>
        <w:ind w:left="717" w:hanging="360"/>
        <w:rPr>
          <w:rFonts w:ascii="Arial" w:hAnsi="Arial"/>
          <w:sz w:val="24"/>
          <w:lang w:val="de-CH"/>
        </w:rPr>
      </w:pPr>
      <w:r w:rsidRPr="00782804">
        <w:rPr>
          <w:rFonts w:ascii="Arial" w:hAnsi="Arial"/>
          <w:sz w:val="24"/>
          <w:lang w:val="de-CH"/>
        </w:rPr>
        <w:fldChar w:fldCharType="begin"/>
      </w:r>
      <w:r w:rsidRPr="00782804">
        <w:rPr>
          <w:rFonts w:ascii="Arial" w:hAnsi="Arial"/>
          <w:sz w:val="24"/>
          <w:lang w:val="de-CH"/>
        </w:rPr>
        <w:instrText>SYMBOL 183 \f "Symbol" \s 8 \h</w:instrText>
      </w:r>
      <w:r w:rsidRPr="00782804">
        <w:rPr>
          <w:rFonts w:ascii="Arial" w:hAnsi="Arial"/>
          <w:sz w:val="24"/>
          <w:lang w:val="de-CH"/>
        </w:rPr>
        <w:fldChar w:fldCharType="end"/>
      </w:r>
      <w:r w:rsidRPr="00782804">
        <w:rPr>
          <w:rFonts w:ascii="Arial" w:hAnsi="Arial"/>
          <w:sz w:val="24"/>
          <w:lang w:val="de-CH"/>
        </w:rPr>
        <w:tab/>
        <w:t>im 1. Anstellungsjahr</w:t>
      </w:r>
      <w:r w:rsidRPr="00782804">
        <w:rPr>
          <w:rFonts w:ascii="Arial" w:hAnsi="Arial"/>
          <w:sz w:val="24"/>
          <w:lang w:val="de-CH"/>
        </w:rPr>
        <w:tab/>
        <w:t>1 Monat</w:t>
      </w:r>
    </w:p>
    <w:p w:rsidR="00D17740" w:rsidRPr="00782804" w:rsidRDefault="00D17740">
      <w:pPr>
        <w:tabs>
          <w:tab w:val="left" w:pos="6237"/>
        </w:tabs>
        <w:ind w:left="717" w:hanging="360"/>
        <w:rPr>
          <w:rFonts w:ascii="Arial" w:hAnsi="Arial"/>
          <w:sz w:val="24"/>
          <w:lang w:val="de-CH"/>
        </w:rPr>
      </w:pPr>
      <w:r w:rsidRPr="00782804">
        <w:rPr>
          <w:rFonts w:ascii="Arial" w:hAnsi="Arial"/>
          <w:sz w:val="24"/>
          <w:lang w:val="de-CH"/>
        </w:rPr>
        <w:fldChar w:fldCharType="begin"/>
      </w:r>
      <w:r w:rsidRPr="00782804">
        <w:rPr>
          <w:rFonts w:ascii="Arial" w:hAnsi="Arial"/>
          <w:sz w:val="24"/>
          <w:lang w:val="de-CH"/>
        </w:rPr>
        <w:instrText>SYMBOL 183 \f "Symbol" \s 8 \h</w:instrText>
      </w:r>
      <w:r w:rsidRPr="00782804">
        <w:rPr>
          <w:rFonts w:ascii="Arial" w:hAnsi="Arial"/>
          <w:sz w:val="24"/>
          <w:lang w:val="de-CH"/>
        </w:rPr>
        <w:fldChar w:fldCharType="end"/>
      </w:r>
      <w:r w:rsidRPr="00782804">
        <w:rPr>
          <w:rFonts w:ascii="Arial" w:hAnsi="Arial"/>
          <w:sz w:val="24"/>
          <w:lang w:val="de-CH"/>
        </w:rPr>
        <w:tab/>
        <w:t>im 2. bis 9. Anstellungsjahr</w:t>
      </w:r>
      <w:r w:rsidRPr="00782804">
        <w:rPr>
          <w:rFonts w:ascii="Arial" w:hAnsi="Arial"/>
          <w:sz w:val="24"/>
          <w:lang w:val="de-CH"/>
        </w:rPr>
        <w:tab/>
        <w:t>2 Monate</w:t>
      </w:r>
    </w:p>
    <w:p w:rsidR="00D17740" w:rsidRPr="00782804" w:rsidRDefault="00D17740">
      <w:pPr>
        <w:tabs>
          <w:tab w:val="left" w:pos="6237"/>
        </w:tabs>
        <w:ind w:left="717" w:hanging="360"/>
        <w:rPr>
          <w:rFonts w:ascii="Arial" w:hAnsi="Arial"/>
          <w:sz w:val="24"/>
          <w:lang w:val="de-CH"/>
        </w:rPr>
      </w:pPr>
      <w:r w:rsidRPr="00782804">
        <w:rPr>
          <w:rFonts w:ascii="Arial" w:hAnsi="Arial"/>
          <w:sz w:val="24"/>
          <w:lang w:val="de-CH"/>
        </w:rPr>
        <w:fldChar w:fldCharType="begin"/>
      </w:r>
      <w:r w:rsidRPr="00782804">
        <w:rPr>
          <w:rFonts w:ascii="Arial" w:hAnsi="Arial"/>
          <w:sz w:val="24"/>
          <w:lang w:val="de-CH"/>
        </w:rPr>
        <w:instrText>SYMBOL 183 \f "Symbol" \s 8 \h</w:instrText>
      </w:r>
      <w:r w:rsidRPr="00782804">
        <w:rPr>
          <w:rFonts w:ascii="Arial" w:hAnsi="Arial"/>
          <w:sz w:val="24"/>
          <w:lang w:val="de-CH"/>
        </w:rPr>
        <w:fldChar w:fldCharType="end"/>
      </w:r>
      <w:r w:rsidRPr="00782804">
        <w:rPr>
          <w:rFonts w:ascii="Arial" w:hAnsi="Arial"/>
          <w:sz w:val="24"/>
          <w:lang w:val="de-CH"/>
        </w:rPr>
        <w:tab/>
        <w:t>nach Vollendung des 9. Anstellungsjahres</w:t>
      </w:r>
      <w:r w:rsidRPr="00782804">
        <w:rPr>
          <w:rFonts w:ascii="Arial" w:hAnsi="Arial"/>
          <w:sz w:val="24"/>
          <w:lang w:val="de-CH"/>
        </w:rPr>
        <w:tab/>
        <w:t>3 Monate</w:t>
      </w:r>
    </w:p>
    <w:p w:rsidR="00D17740" w:rsidRPr="00782804" w:rsidRDefault="00D17740">
      <w:pPr>
        <w:rPr>
          <w:rFonts w:ascii="Arial" w:hAnsi="Arial"/>
          <w:sz w:val="24"/>
          <w:lang w:val="de-CH"/>
        </w:rPr>
      </w:pPr>
    </w:p>
    <w:p w:rsidR="00D17740" w:rsidRPr="00782804" w:rsidRDefault="00D17740">
      <w:pPr>
        <w:rPr>
          <w:rFonts w:ascii="Arial" w:hAnsi="Arial"/>
          <w:sz w:val="24"/>
          <w:lang w:val="de-CH"/>
        </w:rPr>
      </w:pPr>
    </w:p>
    <w:p w:rsidR="00D17740" w:rsidRPr="00782804" w:rsidRDefault="00D17740" w:rsidP="00D17740">
      <w:pPr>
        <w:pStyle w:val="berschrift1"/>
        <w:rPr>
          <w:lang w:val="de-CH"/>
        </w:rPr>
      </w:pPr>
      <w:r w:rsidRPr="00782804">
        <w:rPr>
          <w:lang w:val="de-CH"/>
        </w:rPr>
        <w:t>Arbeitszeugnis</w:t>
      </w:r>
    </w:p>
    <w:p w:rsidR="00D17740" w:rsidRPr="00782804" w:rsidRDefault="00D17740">
      <w:pPr>
        <w:rPr>
          <w:rFonts w:ascii="Arial" w:hAnsi="Arial"/>
          <w:sz w:val="24"/>
          <w:lang w:val="de-CH"/>
        </w:rPr>
      </w:pPr>
    </w:p>
    <w:p w:rsidR="00D17740" w:rsidRPr="00782804" w:rsidRDefault="00D17740">
      <w:pPr>
        <w:rPr>
          <w:rFonts w:ascii="Arial" w:hAnsi="Arial"/>
          <w:sz w:val="24"/>
          <w:lang w:val="de-CH"/>
        </w:rPr>
      </w:pPr>
      <w:r w:rsidRPr="00782804">
        <w:rPr>
          <w:rFonts w:ascii="Arial" w:hAnsi="Arial"/>
          <w:sz w:val="24"/>
          <w:lang w:val="de-CH"/>
        </w:rPr>
        <w:t>Der Arbeitnehmer kann jederzeit vom Arbeitgeber ein Arbeitszeugnis verlangen, also auch während des Arbeitsverhältnisses (Zwischenzeugnis). Grundsätzlich hat der Arbeitnehmer Anspruch auf ein Zeugnis, das sich über Art und Dauer des Arbeitsverhältnisses sowie über seine Leistungen und sein Verhalten ausspricht (Vollzeugnis).</w:t>
      </w:r>
    </w:p>
    <w:p w:rsidR="00D17740" w:rsidRPr="00782804" w:rsidRDefault="00D17740">
      <w:pPr>
        <w:rPr>
          <w:rFonts w:ascii="Arial" w:hAnsi="Arial"/>
          <w:sz w:val="24"/>
          <w:lang w:val="de-CH"/>
        </w:rPr>
      </w:pPr>
    </w:p>
    <w:p w:rsidR="00424AF7" w:rsidRPr="00782804" w:rsidRDefault="00424AF7">
      <w:pPr>
        <w:rPr>
          <w:rFonts w:ascii="Arial" w:hAnsi="Arial"/>
          <w:sz w:val="24"/>
          <w:lang w:val="de-CH"/>
        </w:rPr>
      </w:pPr>
    </w:p>
    <w:p w:rsidR="00D17740" w:rsidRPr="00782804" w:rsidRDefault="00D17740" w:rsidP="00D17740">
      <w:pPr>
        <w:pStyle w:val="berschrift1"/>
        <w:rPr>
          <w:lang w:val="de-CH"/>
        </w:rPr>
      </w:pPr>
      <w:r w:rsidRPr="00782804">
        <w:rPr>
          <w:lang w:val="de-CH"/>
        </w:rPr>
        <w:t>Weiterbildung während der Arbeitszeit</w:t>
      </w:r>
    </w:p>
    <w:p w:rsidR="00D17740" w:rsidRPr="00782804" w:rsidRDefault="00D17740">
      <w:pPr>
        <w:rPr>
          <w:rFonts w:ascii="Arial" w:hAnsi="Arial"/>
          <w:sz w:val="24"/>
          <w:lang w:val="de-CH"/>
        </w:rPr>
      </w:pPr>
    </w:p>
    <w:p w:rsidR="00D17740" w:rsidRPr="00782804" w:rsidRDefault="00D17740">
      <w:pPr>
        <w:rPr>
          <w:rFonts w:ascii="Arial" w:hAnsi="Arial"/>
          <w:sz w:val="24"/>
          <w:lang w:val="de-CH"/>
        </w:rPr>
      </w:pPr>
      <w:r w:rsidRPr="00782804">
        <w:rPr>
          <w:rFonts w:ascii="Arial" w:hAnsi="Arial"/>
          <w:sz w:val="24"/>
          <w:lang w:val="de-CH"/>
        </w:rPr>
        <w:t>Der SKV postuliert einen jährlichen, bezahlten Bildungsurlaub von mindestens einer Woche für die berufliche Weiterbildung. Für leitende Angestellte dürfte dies kaum ausreichen, wenn nicht sichergestellt ist, dass sie firmenintern genügend Zeit haben, sich laufend auf einem aktuellen Informationsstand zu halten.</w:t>
      </w:r>
    </w:p>
    <w:p w:rsidR="00D17740" w:rsidRPr="00782804" w:rsidRDefault="00D17740">
      <w:pPr>
        <w:rPr>
          <w:rFonts w:ascii="Arial" w:hAnsi="Arial"/>
          <w:sz w:val="24"/>
          <w:lang w:val="de-CH"/>
        </w:rPr>
      </w:pPr>
    </w:p>
    <w:p w:rsidR="00424AF7" w:rsidRPr="00782804" w:rsidRDefault="00424AF7">
      <w:pPr>
        <w:rPr>
          <w:rFonts w:ascii="Arial" w:hAnsi="Arial"/>
          <w:sz w:val="24"/>
          <w:lang w:val="de-CH"/>
        </w:rPr>
      </w:pPr>
    </w:p>
    <w:p w:rsidR="00D17740" w:rsidRPr="00782804" w:rsidRDefault="00D17740" w:rsidP="00D17740">
      <w:pPr>
        <w:pStyle w:val="berschrift1"/>
        <w:rPr>
          <w:lang w:val="de-CH"/>
        </w:rPr>
      </w:pPr>
      <w:r w:rsidRPr="00782804">
        <w:rPr>
          <w:lang w:val="de-CH"/>
        </w:rPr>
        <w:lastRenderedPageBreak/>
        <w:t>Treuepflicht</w:t>
      </w:r>
    </w:p>
    <w:p w:rsidR="00D17740" w:rsidRPr="00782804" w:rsidRDefault="00D17740">
      <w:pPr>
        <w:rPr>
          <w:rFonts w:ascii="Arial" w:hAnsi="Arial"/>
          <w:sz w:val="24"/>
          <w:lang w:val="de-CH"/>
        </w:rPr>
      </w:pPr>
    </w:p>
    <w:p w:rsidR="00D17740" w:rsidRPr="00782804" w:rsidRDefault="00D17740">
      <w:pPr>
        <w:rPr>
          <w:rFonts w:ascii="Arial" w:hAnsi="Arial"/>
          <w:sz w:val="24"/>
          <w:lang w:val="de-CH"/>
        </w:rPr>
      </w:pPr>
      <w:r w:rsidRPr="00782804">
        <w:rPr>
          <w:rFonts w:ascii="Arial" w:hAnsi="Arial"/>
          <w:sz w:val="24"/>
          <w:lang w:val="de-CH"/>
        </w:rPr>
        <w:t>Die Treuepflicht gilt als Gegenstück zur Fürsorgepflicht des Arbeitgebers. Einem leitenden Angestellten wird normalerweise seitens des Arbeitgebers besonderes Vertrauen entgegengebracht. Dies bedingt aber auch eine erhöhte Treuepflicht des Angestellten, was gewisse Auswirkungen auf das Privatleben haben kann.</w:t>
      </w:r>
    </w:p>
    <w:p w:rsidR="00D17740" w:rsidRPr="00782804" w:rsidRDefault="00D17740">
      <w:pPr>
        <w:rPr>
          <w:rFonts w:ascii="Arial" w:hAnsi="Arial"/>
          <w:sz w:val="24"/>
          <w:lang w:val="de-CH"/>
        </w:rPr>
      </w:pPr>
      <w:r w:rsidRPr="00782804">
        <w:rPr>
          <w:rFonts w:ascii="Arial" w:hAnsi="Arial"/>
          <w:sz w:val="24"/>
          <w:lang w:val="de-CH"/>
        </w:rPr>
        <w:t>Arbeitszeit, Überstunden, Ferien</w:t>
      </w:r>
    </w:p>
    <w:p w:rsidR="00D17740" w:rsidRPr="00782804" w:rsidRDefault="00D17740">
      <w:pPr>
        <w:rPr>
          <w:rFonts w:ascii="Arial" w:hAnsi="Arial"/>
          <w:sz w:val="24"/>
          <w:lang w:val="de-CH"/>
        </w:rPr>
      </w:pPr>
    </w:p>
    <w:p w:rsidR="00424AF7" w:rsidRPr="00782804" w:rsidRDefault="00424AF7">
      <w:pPr>
        <w:rPr>
          <w:rFonts w:ascii="Arial" w:hAnsi="Arial"/>
          <w:sz w:val="24"/>
          <w:lang w:val="de-CH"/>
        </w:rPr>
      </w:pPr>
    </w:p>
    <w:p w:rsidR="00D17740" w:rsidRPr="00782804" w:rsidRDefault="00D17740" w:rsidP="00D17740">
      <w:pPr>
        <w:pStyle w:val="berschrift1"/>
        <w:rPr>
          <w:lang w:val="de-CH"/>
        </w:rPr>
      </w:pPr>
      <w:r w:rsidRPr="00782804">
        <w:rPr>
          <w:lang w:val="de-CH"/>
        </w:rPr>
        <w:t>Überstundenarbeit</w:t>
      </w:r>
    </w:p>
    <w:p w:rsidR="00D17740" w:rsidRPr="00782804" w:rsidRDefault="00D17740">
      <w:pPr>
        <w:rPr>
          <w:rFonts w:ascii="Arial" w:hAnsi="Arial"/>
          <w:sz w:val="24"/>
          <w:lang w:val="de-CH"/>
        </w:rPr>
      </w:pPr>
    </w:p>
    <w:p w:rsidR="00D17740" w:rsidRPr="00782804" w:rsidRDefault="00D17740">
      <w:pPr>
        <w:rPr>
          <w:rFonts w:ascii="Arial" w:hAnsi="Arial"/>
          <w:sz w:val="24"/>
          <w:lang w:val="de-CH"/>
        </w:rPr>
      </w:pPr>
      <w:r w:rsidRPr="00782804">
        <w:rPr>
          <w:rFonts w:ascii="Arial" w:hAnsi="Arial"/>
          <w:sz w:val="24"/>
          <w:lang w:val="de-CH"/>
        </w:rPr>
        <w:t>Trotz eindeutiger Rechtsprechung wird auch heute noch häufig die Meinung vertreten, leitende Angestellte hätten keinen Anspruch auf Überstundenentschädigung. Von dieser falschen Voraussetzung ausgehend, wird es auch nicht als notwendig erachtet, die Vergütung von Überstunden vertraglich zu regeln.</w:t>
      </w:r>
    </w:p>
    <w:p w:rsidR="00D17740" w:rsidRPr="00782804" w:rsidRDefault="00D17740">
      <w:pPr>
        <w:rPr>
          <w:rFonts w:ascii="Arial" w:hAnsi="Arial"/>
          <w:sz w:val="24"/>
          <w:lang w:val="de-CH"/>
        </w:rPr>
      </w:pPr>
    </w:p>
    <w:p w:rsidR="00424AF7" w:rsidRPr="00782804" w:rsidRDefault="00424AF7">
      <w:pPr>
        <w:rPr>
          <w:rFonts w:ascii="Arial" w:hAnsi="Arial"/>
          <w:sz w:val="24"/>
          <w:lang w:val="de-CH"/>
        </w:rPr>
      </w:pPr>
    </w:p>
    <w:p w:rsidR="00D17740" w:rsidRPr="00782804" w:rsidRDefault="00D17740" w:rsidP="00D17740">
      <w:pPr>
        <w:pStyle w:val="berschrift1"/>
        <w:rPr>
          <w:lang w:val="de-CH"/>
        </w:rPr>
      </w:pPr>
      <w:r w:rsidRPr="00782804">
        <w:rPr>
          <w:lang w:val="de-CH"/>
        </w:rPr>
        <w:t>Ferien</w:t>
      </w:r>
    </w:p>
    <w:p w:rsidR="00D17740" w:rsidRPr="00782804" w:rsidRDefault="00D17740">
      <w:pPr>
        <w:rPr>
          <w:rFonts w:ascii="Arial" w:hAnsi="Arial"/>
          <w:sz w:val="24"/>
          <w:lang w:val="de-CH"/>
        </w:rPr>
      </w:pPr>
    </w:p>
    <w:p w:rsidR="00D17740" w:rsidRPr="00782804" w:rsidRDefault="00D17740">
      <w:pPr>
        <w:rPr>
          <w:rFonts w:ascii="Arial" w:hAnsi="Arial"/>
          <w:sz w:val="24"/>
          <w:lang w:val="de-CH"/>
        </w:rPr>
      </w:pPr>
      <w:r w:rsidRPr="00782804">
        <w:rPr>
          <w:rFonts w:ascii="Arial" w:hAnsi="Arial"/>
          <w:sz w:val="24"/>
          <w:lang w:val="de-CH"/>
        </w:rPr>
        <w:t>Nach Art. 329a OR haben jugendliche Arbeitnehmer und Lehrlinge bis zum vollendeten 20. Altersjahr Anspruch auf 5 Wochen Ferien, alle übrigen Arbeitnehmer auf 4 Woche.</w:t>
      </w:r>
    </w:p>
    <w:p w:rsidR="00D17740" w:rsidRPr="00782804" w:rsidRDefault="00D17740">
      <w:pPr>
        <w:rPr>
          <w:rFonts w:ascii="Arial" w:hAnsi="Arial"/>
          <w:sz w:val="24"/>
          <w:lang w:val="de-CH"/>
        </w:rPr>
      </w:pPr>
    </w:p>
    <w:p w:rsidR="00D17740" w:rsidRPr="00782804" w:rsidRDefault="00D17740">
      <w:pPr>
        <w:rPr>
          <w:rFonts w:ascii="Arial" w:hAnsi="Arial"/>
          <w:sz w:val="24"/>
          <w:lang w:val="de-CH"/>
        </w:rPr>
      </w:pPr>
    </w:p>
    <w:sectPr w:rsidR="00D17740" w:rsidRPr="00782804" w:rsidSect="00274CA8">
      <w:pgSz w:w="11907" w:h="16840"/>
      <w:pgMar w:top="1418" w:right="1418" w:bottom="1418" w:left="1418" w:header="72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E57" w:rsidRDefault="009D1E57">
      <w:r>
        <w:separator/>
      </w:r>
    </w:p>
  </w:endnote>
  <w:endnote w:type="continuationSeparator" w:id="0">
    <w:p w:rsidR="009D1E57" w:rsidRDefault="009D1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E57" w:rsidRDefault="009D1E57">
      <w:r>
        <w:separator/>
      </w:r>
    </w:p>
  </w:footnote>
  <w:footnote w:type="continuationSeparator" w:id="0">
    <w:p w:rsidR="009D1E57" w:rsidRDefault="009D1E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740"/>
    <w:rsid w:val="002742FA"/>
    <w:rsid w:val="00274CA8"/>
    <w:rsid w:val="00424AF7"/>
    <w:rsid w:val="00485913"/>
    <w:rsid w:val="004C0F30"/>
    <w:rsid w:val="00766B00"/>
    <w:rsid w:val="00782804"/>
    <w:rsid w:val="009D1E57"/>
    <w:rsid w:val="00D1774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E4D9D34-2768-4D9B-B907-12D2DFA22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de-DE" w:eastAsia="en-GB"/>
    </w:rPr>
  </w:style>
  <w:style w:type="paragraph" w:styleId="berschrift1">
    <w:name w:val="heading 1"/>
    <w:basedOn w:val="Standard"/>
    <w:next w:val="Standard"/>
    <w:qFormat/>
    <w:pPr>
      <w:keepNext/>
      <w:outlineLvl w:val="0"/>
    </w:pPr>
    <w:rPr>
      <w:rFonts w:ascii="Arial" w:hAnsi="Arial"/>
      <w:b/>
      <w:sz w:val="28"/>
    </w:rPr>
  </w:style>
  <w:style w:type="paragraph" w:styleId="berschrift2">
    <w:name w:val="heading 2"/>
    <w:basedOn w:val="Standard"/>
    <w:next w:val="Standard"/>
    <w:qFormat/>
    <w:rsid w:val="00D17740"/>
    <w:pPr>
      <w:keepNext/>
      <w:spacing w:before="240" w:after="60"/>
      <w:outlineLvl w:val="1"/>
    </w:pPr>
    <w:rPr>
      <w:rFonts w:ascii="Arial" w:hAnsi="Arial" w:cs="Arial"/>
      <w:b/>
      <w:bCs/>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819"/>
        <w:tab w:val="right" w:pos="9071"/>
      </w:tabs>
    </w:pPr>
  </w:style>
  <w:style w:type="paragraph" w:styleId="Sprechblasentext">
    <w:name w:val="Balloon Text"/>
    <w:basedOn w:val="Standard"/>
    <w:link w:val="SprechblasentextZchn"/>
    <w:uiPriority w:val="99"/>
    <w:semiHidden/>
    <w:unhideWhenUsed/>
    <w:rsid w:val="002742F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742FA"/>
    <w:rPr>
      <w:rFonts w:ascii="Tahoma" w:hAnsi="Tahoma" w:cs="Tahoma"/>
      <w:sz w:val="16"/>
      <w:szCs w:val="16"/>
      <w:lang w:val="de-DE" w:eastAsia="en-GB"/>
    </w:rPr>
  </w:style>
  <w:style w:type="paragraph" w:styleId="Kopfzeile">
    <w:name w:val="header"/>
    <w:basedOn w:val="Standard"/>
    <w:link w:val="KopfzeileZchn"/>
    <w:uiPriority w:val="99"/>
    <w:unhideWhenUsed/>
    <w:rsid w:val="00274CA8"/>
    <w:pPr>
      <w:tabs>
        <w:tab w:val="center" w:pos="4536"/>
        <w:tab w:val="right" w:pos="9072"/>
      </w:tabs>
    </w:pPr>
  </w:style>
  <w:style w:type="character" w:customStyle="1" w:styleId="KopfzeileZchn">
    <w:name w:val="Kopfzeile Zchn"/>
    <w:basedOn w:val="Absatz-Standardschriftart"/>
    <w:link w:val="Kopfzeile"/>
    <w:uiPriority w:val="99"/>
    <w:rsid w:val="00274CA8"/>
    <w:rPr>
      <w:lang w:val="de-D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3032A6B8</Template>
  <TotalTime>0</TotalTime>
  <Pages>2</Pages>
  <Words>327</Words>
  <Characters>2380</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Gliederung</vt:lpstr>
    </vt:vector>
  </TitlesOfParts>
  <Company>Kanton Aargau</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Françoise Bernhard</dc:creator>
  <cp:keywords/>
  <dc:description/>
  <cp:lastModifiedBy>Güntert Christina   DFR IT AG</cp:lastModifiedBy>
  <cp:revision>7</cp:revision>
  <cp:lastPrinted>1900-12-31T23:00:00Z</cp:lastPrinted>
  <dcterms:created xsi:type="dcterms:W3CDTF">2012-03-06T08:33:00Z</dcterms:created>
  <dcterms:modified xsi:type="dcterms:W3CDTF">2017-05-09T09:42:00Z</dcterms:modified>
</cp:coreProperties>
</file>